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20" w:rsidRPr="001D2E98" w:rsidRDefault="001D2E98" w:rsidP="001D2E98">
      <w:pPr>
        <w:spacing w:line="360" w:lineRule="auto"/>
        <w:jc w:val="both"/>
        <w:rPr>
          <w:sz w:val="24"/>
          <w:szCs w:val="24"/>
        </w:rPr>
      </w:pPr>
      <w:proofErr w:type="spellStart"/>
      <w:r w:rsidRPr="001D2E98">
        <w:rPr>
          <w:sz w:val="24"/>
          <w:szCs w:val="24"/>
        </w:rPr>
        <w:t>Ocampo</w:t>
      </w:r>
      <w:proofErr w:type="spellEnd"/>
      <w:r w:rsidRPr="001D2E98">
        <w:rPr>
          <w:sz w:val="24"/>
          <w:szCs w:val="24"/>
        </w:rPr>
        <w:t xml:space="preserve"> L, </w:t>
      </w:r>
      <w:proofErr w:type="spellStart"/>
      <w:r w:rsidRPr="001D2E98">
        <w:rPr>
          <w:sz w:val="24"/>
          <w:szCs w:val="24"/>
        </w:rPr>
        <w:t>Bahrampour</w:t>
      </w:r>
      <w:proofErr w:type="spellEnd"/>
      <w:r w:rsidRPr="001D2E98">
        <w:rPr>
          <w:sz w:val="24"/>
          <w:szCs w:val="24"/>
        </w:rPr>
        <w:t xml:space="preserve"> S, </w:t>
      </w:r>
      <w:proofErr w:type="spellStart"/>
      <w:r w:rsidRPr="001D2E98">
        <w:rPr>
          <w:sz w:val="24"/>
          <w:szCs w:val="24"/>
        </w:rPr>
        <w:t>Pincinato</w:t>
      </w:r>
      <w:proofErr w:type="spellEnd"/>
      <w:r w:rsidRPr="001D2E98">
        <w:rPr>
          <w:sz w:val="24"/>
          <w:szCs w:val="24"/>
        </w:rPr>
        <w:t xml:space="preserve"> PH, Bray </w:t>
      </w:r>
      <w:proofErr w:type="gramStart"/>
      <w:r w:rsidRPr="001D2E98">
        <w:rPr>
          <w:sz w:val="24"/>
          <w:szCs w:val="24"/>
        </w:rPr>
        <w:t>A</w:t>
      </w:r>
      <w:proofErr w:type="gramEnd"/>
      <w:r w:rsidRPr="001D2E98">
        <w:rPr>
          <w:sz w:val="24"/>
          <w:szCs w:val="24"/>
        </w:rPr>
        <w:t xml:space="preserve">, El </w:t>
      </w:r>
      <w:proofErr w:type="spellStart"/>
      <w:r w:rsidRPr="001D2E98">
        <w:rPr>
          <w:sz w:val="24"/>
          <w:szCs w:val="24"/>
        </w:rPr>
        <w:t>Kareh</w:t>
      </w:r>
      <w:proofErr w:type="spellEnd"/>
      <w:r w:rsidRPr="001D2E98">
        <w:rPr>
          <w:sz w:val="24"/>
          <w:szCs w:val="24"/>
        </w:rPr>
        <w:t xml:space="preserve"> A, Maas AL. Heterotopic pregnancy and the influence of </w:t>
      </w:r>
      <w:proofErr w:type="spellStart"/>
      <w:r w:rsidRPr="001D2E98">
        <w:rPr>
          <w:sz w:val="24"/>
          <w:szCs w:val="24"/>
        </w:rPr>
        <w:t>letrozole</w:t>
      </w:r>
      <w:proofErr w:type="spellEnd"/>
      <w:r w:rsidRPr="001D2E98">
        <w:rPr>
          <w:sz w:val="24"/>
          <w:szCs w:val="24"/>
        </w:rPr>
        <w:t xml:space="preserve">. Case Rep </w:t>
      </w:r>
      <w:proofErr w:type="spellStart"/>
      <w:r w:rsidRPr="001D2E98">
        <w:rPr>
          <w:sz w:val="24"/>
          <w:szCs w:val="24"/>
        </w:rPr>
        <w:t>Int</w:t>
      </w:r>
      <w:proofErr w:type="spellEnd"/>
      <w:r w:rsidRPr="001D2E98">
        <w:rPr>
          <w:sz w:val="24"/>
          <w:szCs w:val="24"/>
        </w:rPr>
        <w:t xml:space="preserve"> 2024;13(1):7–11</w:t>
      </w:r>
      <w:r>
        <w:rPr>
          <w:sz w:val="24"/>
          <w:szCs w:val="24"/>
        </w:rPr>
        <w:t>.</w:t>
      </w:r>
      <w:bookmarkStart w:id="0" w:name="_GoBack"/>
      <w:bookmarkEnd w:id="0"/>
    </w:p>
    <w:sectPr w:rsidR="00CE7220" w:rsidRPr="001D2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98"/>
    <w:rsid w:val="001D2E98"/>
    <w:rsid w:val="00C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2E9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2E9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2024-05-15T08:26:00Z</dcterms:created>
  <dcterms:modified xsi:type="dcterms:W3CDTF">2024-05-15T08:27:00Z</dcterms:modified>
</cp:coreProperties>
</file>